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7C8CBFD1" w:rsidR="007A72FB" w:rsidRPr="00EC4258" w:rsidRDefault="00EC4258" w:rsidP="00616A08">
            <w:pPr>
              <w:pStyle w:val="a8"/>
              <w:rPr>
                <w:sz w:val="24"/>
                <w:szCs w:val="24"/>
              </w:rPr>
            </w:pPr>
            <w:r w:rsidRPr="00EC4258">
              <w:rPr>
                <w:sz w:val="24"/>
                <w:szCs w:val="24"/>
              </w:rPr>
              <w:t xml:space="preserve">Ремонтные работы на </w:t>
            </w:r>
            <w:proofErr w:type="gramStart"/>
            <w:r w:rsidRPr="00EC4258">
              <w:rPr>
                <w:sz w:val="24"/>
                <w:szCs w:val="24"/>
              </w:rPr>
              <w:t xml:space="preserve">объекте:  </w:t>
            </w:r>
            <w:r w:rsidR="00F82A7E">
              <w:rPr>
                <w:sz w:val="24"/>
                <w:szCs w:val="24"/>
              </w:rPr>
              <w:t>г.</w:t>
            </w:r>
            <w:proofErr w:type="gramEnd"/>
            <w:r w:rsidR="00F82A7E">
              <w:rPr>
                <w:sz w:val="24"/>
                <w:szCs w:val="24"/>
              </w:rPr>
              <w:t xml:space="preserve"> Миасс, ул. Пролетарская, 14</w:t>
            </w:r>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0208CC16" w:rsidR="007A72FB" w:rsidRPr="00EC4258" w:rsidRDefault="00EC4258" w:rsidP="00EC4258">
            <w:pPr>
              <w:pStyle w:val="a8"/>
              <w:rPr>
                <w:sz w:val="24"/>
                <w:szCs w:val="24"/>
              </w:rPr>
            </w:pPr>
            <w:r w:rsidRPr="00EC4258">
              <w:rPr>
                <w:rStyle w:val="aa"/>
                <w:b w:val="0"/>
                <w:color w:val="333333"/>
                <w:sz w:val="24"/>
                <w:szCs w:val="24"/>
                <w:shd w:val="clear" w:color="auto" w:fill="FFFFFF"/>
              </w:rPr>
              <w:t>43.39.19</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EC4258" w:rsidRDefault="00EC4258" w:rsidP="00616A08">
            <w:pPr>
              <w:pStyle w:val="a8"/>
              <w:rPr>
                <w:sz w:val="24"/>
                <w:szCs w:val="24"/>
              </w:rPr>
            </w:pPr>
            <w:r>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498E7F49" w:rsidR="007A72FB" w:rsidRPr="00EC4258" w:rsidRDefault="00F82A7E" w:rsidP="00616A08">
            <w:pPr>
              <w:pStyle w:val="a8"/>
              <w:rPr>
                <w:sz w:val="24"/>
                <w:szCs w:val="24"/>
              </w:rPr>
            </w:pPr>
            <w:r>
              <w:rPr>
                <w:sz w:val="24"/>
                <w:szCs w:val="24"/>
              </w:rPr>
              <w:t>128092,71</w:t>
            </w:r>
            <w:r w:rsidR="00CC7349">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14A11AC0" w:rsidR="007A72FB" w:rsidRPr="00EC4258" w:rsidRDefault="00F82A7E" w:rsidP="00616A08">
            <w:pPr>
              <w:pStyle w:val="a8"/>
              <w:rPr>
                <w:sz w:val="24"/>
                <w:szCs w:val="24"/>
              </w:rPr>
            </w:pPr>
            <w:r>
              <w:rPr>
                <w:sz w:val="24"/>
                <w:szCs w:val="24"/>
              </w:rPr>
              <w:t>128092,71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04B80C5E" w:rsidR="007A72FB" w:rsidRPr="00EC4258" w:rsidRDefault="00CC7349" w:rsidP="00616A08">
            <w:pPr>
              <w:pStyle w:val="a8"/>
              <w:rPr>
                <w:sz w:val="24"/>
                <w:szCs w:val="24"/>
              </w:rPr>
            </w:pPr>
            <w:r>
              <w:rPr>
                <w:sz w:val="24"/>
                <w:szCs w:val="24"/>
              </w:rPr>
              <w:t>1 у.е.</w:t>
            </w:r>
          </w:p>
        </w:tc>
      </w:tr>
      <w:tr w:rsidR="00BC318E" w14:paraId="022478F3" w14:textId="77777777" w:rsidTr="00F90D53">
        <w:tc>
          <w:tcPr>
            <w:tcW w:w="516" w:type="dxa"/>
          </w:tcPr>
          <w:p w14:paraId="05F25F29" w14:textId="353D7B6E" w:rsidR="00BC318E" w:rsidRPr="00C421D4" w:rsidRDefault="00BC318E" w:rsidP="00BC318E">
            <w:pPr>
              <w:pStyle w:val="a8"/>
              <w:rPr>
                <w:sz w:val="24"/>
                <w:szCs w:val="24"/>
              </w:rPr>
            </w:pPr>
            <w:r>
              <w:rPr>
                <w:sz w:val="24"/>
                <w:szCs w:val="24"/>
              </w:rPr>
              <w:t>7.</w:t>
            </w:r>
          </w:p>
        </w:tc>
        <w:tc>
          <w:tcPr>
            <w:tcW w:w="8410" w:type="dxa"/>
          </w:tcPr>
          <w:p w14:paraId="4C53FB15" w14:textId="231C0B83" w:rsidR="00BC318E" w:rsidRPr="00EC4258" w:rsidRDefault="00BC318E" w:rsidP="00BC318E">
            <w:pPr>
              <w:pStyle w:val="a8"/>
              <w:rPr>
                <w:sz w:val="24"/>
                <w:szCs w:val="24"/>
              </w:rPr>
            </w:pPr>
            <w:r w:rsidRPr="00EC4258">
              <w:rPr>
                <w:sz w:val="24"/>
                <w:szCs w:val="24"/>
              </w:rPr>
              <w:t>Требования к поставке товаров (работ, услуг):</w:t>
            </w:r>
          </w:p>
        </w:tc>
        <w:tc>
          <w:tcPr>
            <w:tcW w:w="5634" w:type="dxa"/>
            <w:tcBorders>
              <w:top w:val="single" w:sz="4" w:space="0" w:color="auto"/>
              <w:left w:val="single" w:sz="4" w:space="0" w:color="auto"/>
              <w:bottom w:val="single" w:sz="4" w:space="0" w:color="auto"/>
              <w:right w:val="single" w:sz="4" w:space="0" w:color="auto"/>
            </w:tcBorders>
          </w:tcPr>
          <w:p w14:paraId="4CD4288D" w14:textId="1DCC1764" w:rsidR="00BC318E" w:rsidRPr="00EC4258" w:rsidRDefault="00BC318E" w:rsidP="00BC318E">
            <w:pPr>
              <w:pStyle w:val="a8"/>
              <w:rPr>
                <w:sz w:val="24"/>
                <w:szCs w:val="24"/>
              </w:rPr>
            </w:pPr>
            <w:r>
              <w:rPr>
                <w:color w:val="000000" w:themeColor="text1"/>
                <w:sz w:val="24"/>
                <w:szCs w:val="24"/>
              </w:rPr>
              <w:t>В соответствии со строительными нормами и</w:t>
            </w:r>
            <w:r>
              <w:rPr>
                <w:rFonts w:eastAsia="Times New Roman"/>
                <w:iCs/>
                <w:color w:val="000000" w:themeColor="text1"/>
                <w:sz w:val="24"/>
                <w:szCs w:val="24"/>
                <w:shd w:val="clear" w:color="auto" w:fill="FFFFFF"/>
                <w:lang w:eastAsia="ru-RU"/>
              </w:rPr>
              <w:t xml:space="preserve">  </w:t>
            </w:r>
            <w:hyperlink r:id="rId11" w:tgtFrame="_blank" w:history="1">
              <w:r>
                <w:rPr>
                  <w:rStyle w:val="a4"/>
                  <w:rFonts w:eastAsia="Times New Roman"/>
                  <w:iCs/>
                  <w:color w:val="000000" w:themeColor="text1"/>
                  <w:sz w:val="24"/>
                  <w:szCs w:val="24"/>
                  <w:shd w:val="clear" w:color="auto" w:fill="FFFFFF"/>
                  <w:lang w:eastAsia="ru-RU"/>
                </w:rPr>
                <w:t>ГОСТ Р 72509-2026 «Отделочные работы. Требования к результатам работ»</w:t>
              </w:r>
            </w:hyperlink>
            <w:r>
              <w:rPr>
                <w:color w:val="000000" w:themeColor="text1"/>
                <w:sz w:val="24"/>
                <w:szCs w:val="24"/>
              </w:rPr>
              <w:t xml:space="preserve"> </w:t>
            </w:r>
          </w:p>
        </w:tc>
      </w:tr>
      <w:tr w:rsidR="00BC318E" w14:paraId="703A168A" w14:textId="77777777" w:rsidTr="00F90D53">
        <w:tc>
          <w:tcPr>
            <w:tcW w:w="516" w:type="dxa"/>
          </w:tcPr>
          <w:p w14:paraId="378D530A" w14:textId="4330190B" w:rsidR="00BC318E" w:rsidRPr="00C421D4" w:rsidRDefault="00BC318E" w:rsidP="00BC318E">
            <w:pPr>
              <w:pStyle w:val="a8"/>
              <w:rPr>
                <w:sz w:val="24"/>
                <w:szCs w:val="24"/>
              </w:rPr>
            </w:pPr>
            <w:r>
              <w:rPr>
                <w:sz w:val="24"/>
                <w:szCs w:val="24"/>
              </w:rPr>
              <w:t>8.</w:t>
            </w:r>
          </w:p>
        </w:tc>
        <w:tc>
          <w:tcPr>
            <w:tcW w:w="8410" w:type="dxa"/>
          </w:tcPr>
          <w:p w14:paraId="4C40BFF1" w14:textId="3E394EB5" w:rsidR="00BC318E" w:rsidRPr="00EC4258" w:rsidRDefault="00BC318E" w:rsidP="00BC318E">
            <w:pPr>
              <w:pStyle w:val="a8"/>
              <w:rPr>
                <w:sz w:val="24"/>
                <w:szCs w:val="24"/>
              </w:rPr>
            </w:pPr>
            <w:r w:rsidRPr="00EC4258">
              <w:rPr>
                <w:sz w:val="24"/>
                <w:szCs w:val="24"/>
              </w:rPr>
              <w:t>Условия о гарантийных обязательствах:</w:t>
            </w:r>
          </w:p>
        </w:tc>
        <w:tc>
          <w:tcPr>
            <w:tcW w:w="5634" w:type="dxa"/>
            <w:tcBorders>
              <w:top w:val="single" w:sz="4" w:space="0" w:color="auto"/>
              <w:left w:val="single" w:sz="4" w:space="0" w:color="auto"/>
              <w:bottom w:val="single" w:sz="4" w:space="0" w:color="auto"/>
              <w:right w:val="single" w:sz="4" w:space="0" w:color="auto"/>
            </w:tcBorders>
          </w:tcPr>
          <w:p w14:paraId="6B106D32" w14:textId="4BFA2C2C" w:rsidR="00BC318E" w:rsidRPr="00EC4258" w:rsidRDefault="00BC318E" w:rsidP="00BC318E">
            <w:pPr>
              <w:pStyle w:val="a8"/>
              <w:rPr>
                <w:sz w:val="24"/>
                <w:szCs w:val="24"/>
              </w:rPr>
            </w:pPr>
            <w:r>
              <w:rPr>
                <w:sz w:val="24"/>
                <w:szCs w:val="24"/>
              </w:rPr>
              <w:t>36 месяцев с момента подписания КС-2, КС-3</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4E6A9452"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КС-2, КС-3</w:t>
            </w:r>
          </w:p>
        </w:tc>
      </w:tr>
      <w:tr w:rsidR="007A72FB" w14:paraId="2060560B" w14:textId="77777777" w:rsidTr="00CC7349">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39AF3120" w:rsidR="007A72FB" w:rsidRPr="00EC4258" w:rsidRDefault="002E42C6" w:rsidP="00616A08">
            <w:pPr>
              <w:pStyle w:val="a8"/>
              <w:rPr>
                <w:sz w:val="24"/>
                <w:szCs w:val="24"/>
              </w:rPr>
            </w:pPr>
            <w:r>
              <w:rPr>
                <w:sz w:val="24"/>
                <w:szCs w:val="24"/>
              </w:rPr>
              <w:t>С момента заключения договора</w:t>
            </w:r>
            <w:r w:rsidR="00462B54">
              <w:rPr>
                <w:sz w:val="24"/>
                <w:szCs w:val="24"/>
              </w:rPr>
              <w:t>-3</w:t>
            </w:r>
            <w:r>
              <w:rPr>
                <w:sz w:val="24"/>
                <w:szCs w:val="24"/>
              </w:rPr>
              <w:t>0</w:t>
            </w:r>
            <w:r w:rsidR="00462B54">
              <w:rPr>
                <w:sz w:val="24"/>
                <w:szCs w:val="24"/>
              </w:rPr>
              <w:t>.0</w:t>
            </w:r>
            <w:r>
              <w:rPr>
                <w:sz w:val="24"/>
                <w:szCs w:val="24"/>
              </w:rPr>
              <w:t>6</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32ED9C79" w:rsidR="007A72FB" w:rsidRPr="00EC4258" w:rsidRDefault="00F82A7E" w:rsidP="00616A08">
            <w:pPr>
              <w:pStyle w:val="a8"/>
              <w:rPr>
                <w:sz w:val="24"/>
                <w:szCs w:val="24"/>
              </w:rPr>
            </w:pPr>
            <w:r>
              <w:rPr>
                <w:sz w:val="24"/>
                <w:szCs w:val="24"/>
              </w:rPr>
              <w:t>г. Миасс, ул. Пролетарская, 14</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366626F7" w:rsidR="007A72FB" w:rsidRPr="00EC4258" w:rsidRDefault="00CC7349" w:rsidP="00616A08">
            <w:pPr>
              <w:pStyle w:val="a8"/>
              <w:rPr>
                <w:sz w:val="24"/>
                <w:szCs w:val="24"/>
              </w:rPr>
            </w:pPr>
            <w:r>
              <w:rPr>
                <w:sz w:val="24"/>
                <w:szCs w:val="24"/>
              </w:rPr>
              <w:t>До 31.</w:t>
            </w:r>
            <w:r w:rsidR="002E42C6">
              <w:rPr>
                <w:sz w:val="24"/>
                <w:szCs w:val="24"/>
              </w:rPr>
              <w:t>07</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670AB410" w:rsidR="007A72FB" w:rsidRPr="00F04975" w:rsidRDefault="00F04975" w:rsidP="00616A08">
            <w:pPr>
              <w:pStyle w:val="a8"/>
              <w:rPr>
                <w:sz w:val="24"/>
                <w:szCs w:val="24"/>
              </w:rPr>
            </w:pPr>
            <w:r>
              <w:rPr>
                <w:sz w:val="24"/>
                <w:szCs w:val="24"/>
                <w:lang w:val="en-US"/>
              </w:rPr>
              <w:t>23.06.2026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7CC252EA" w:rsidR="007A72FB" w:rsidRPr="00EC4258" w:rsidRDefault="00F04975" w:rsidP="00616A08">
            <w:pPr>
              <w:pStyle w:val="a8"/>
              <w:rPr>
                <w:sz w:val="24"/>
                <w:szCs w:val="24"/>
              </w:rPr>
            </w:pPr>
            <w:r>
              <w:rPr>
                <w:sz w:val="24"/>
                <w:szCs w:val="24"/>
              </w:rPr>
              <w:t>25.06.2026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7F38712D" w:rsidR="007A72FB" w:rsidRPr="00EC4258" w:rsidRDefault="00F04975" w:rsidP="00616A08">
            <w:pPr>
              <w:pStyle w:val="a8"/>
              <w:rPr>
                <w:sz w:val="24"/>
                <w:szCs w:val="24"/>
              </w:rPr>
            </w:pPr>
            <w:r>
              <w:rPr>
                <w:sz w:val="24"/>
                <w:szCs w:val="24"/>
              </w:rPr>
              <w:t>26.06.2026</w:t>
            </w:r>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18D527D7" w14:textId="38CD9578" w:rsidR="0087260D" w:rsidRDefault="001306FF" w:rsidP="0087260D">
      <w:pPr>
        <w:pStyle w:val="a6"/>
        <w:spacing w:line="240" w:lineRule="auto"/>
        <w:jc w:val="center"/>
        <w:rPr>
          <w:rFonts w:ascii="Times New Roman" w:hAnsi="Times New Roman"/>
        </w:rPr>
      </w:pPr>
      <w:r>
        <w:rPr>
          <w:rFonts w:ascii="Times New Roman" w:hAnsi="Times New Roman"/>
        </w:rPr>
        <w:br w:type="textWrapping" w:clear="all"/>
      </w:r>
    </w:p>
    <w:p w14:paraId="561B9744" w14:textId="77777777" w:rsidR="005B2F89" w:rsidRPr="00D02E65" w:rsidRDefault="005B2F89" w:rsidP="00123261">
      <w:pPr>
        <w:spacing w:line="240" w:lineRule="auto"/>
        <w:rPr>
          <w:rFonts w:ascii="Times New Roman" w:hAnsi="Times New Roman"/>
        </w:rPr>
      </w:pPr>
      <w:bookmarkStart w:id="4" w:name="_GoBack"/>
      <w:bookmarkEnd w:id="4"/>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C318E"/>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7AEB"/>
    <w:rsid w:val="00EF5B00"/>
    <w:rsid w:val="00EF5B86"/>
    <w:rsid w:val="00F04975"/>
    <w:rsid w:val="00F21886"/>
    <w:rsid w:val="00F3086C"/>
    <w:rsid w:val="00F572D7"/>
    <w:rsid w:val="00F61540"/>
    <w:rsid w:val="00F66EE6"/>
    <w:rsid w:val="00F712A7"/>
    <w:rsid w:val="00F74136"/>
    <w:rsid w:val="00F757F0"/>
    <w:rsid w:val="00F82A7E"/>
    <w:rsid w:val="00F839B9"/>
    <w:rsid w:val="00F96295"/>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hyperlink" Target="https://dzen.ru/away?to=https%3A%2F%2Fprotect.gost.ru%2Fdocument1.aspx%3Fcontrol%3D31%26baseC%3D6%26page%3D4%26month%3D2%26year%3D2026%26search%3D%26id%3D270948" TargetMode="Externa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3116</Words>
  <Characters>17763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4</cp:revision>
  <dcterms:created xsi:type="dcterms:W3CDTF">2026-05-25T09:20:00Z</dcterms:created>
  <dcterms:modified xsi:type="dcterms:W3CDTF">2026-06-23T07:35:00Z</dcterms:modified>
</cp:coreProperties>
</file>